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D23950" w:rsidRPr="00D23950" w:rsidRDefault="00D23950" w:rsidP="00D23950">
      <w:pPr>
        <w:jc w:val="center"/>
        <w:rPr>
          <w:b/>
          <w:szCs w:val="20"/>
          <w:lang w:eastAsia="lt-LT"/>
        </w:rPr>
      </w:pPr>
      <w:r w:rsidRPr="00D23950">
        <w:rPr>
          <w:b/>
          <w:szCs w:val="20"/>
          <w:lang w:eastAsia="lt-LT"/>
        </w:rPr>
        <w:t>KLAIPĖDOS LOPŠELIO</w:t>
      </w:r>
      <w:r w:rsidR="00D244C4">
        <w:rPr>
          <w:b/>
          <w:szCs w:val="20"/>
          <w:lang w:eastAsia="lt-LT"/>
        </w:rPr>
        <w:t>-</w:t>
      </w:r>
      <w:r w:rsidRPr="00D23950">
        <w:rPr>
          <w:b/>
          <w:szCs w:val="20"/>
          <w:lang w:eastAsia="lt-LT"/>
        </w:rPr>
        <w:t xml:space="preserve">DARŽELIO „ATŽALYNAS“ </w:t>
      </w:r>
    </w:p>
    <w:p w:rsidR="00D23950" w:rsidRPr="00D23950" w:rsidRDefault="00D23950" w:rsidP="00D23950">
      <w:pPr>
        <w:jc w:val="center"/>
        <w:rPr>
          <w:b/>
          <w:szCs w:val="20"/>
          <w:lang w:eastAsia="lt-LT"/>
        </w:rPr>
      </w:pPr>
      <w:r w:rsidRPr="00D23950">
        <w:rPr>
          <w:b/>
          <w:szCs w:val="20"/>
          <w:lang w:eastAsia="lt-LT"/>
        </w:rPr>
        <w:t xml:space="preserve">2021 METŲ VEIKLOS ATASKAITA </w:t>
      </w:r>
    </w:p>
    <w:p w:rsidR="00D23950" w:rsidRPr="00D23950" w:rsidRDefault="00D23950" w:rsidP="00D23950">
      <w:pPr>
        <w:jc w:val="center"/>
        <w:rPr>
          <w:b/>
          <w:szCs w:val="20"/>
          <w:lang w:eastAsia="lt-LT"/>
        </w:rPr>
      </w:pPr>
      <w:r w:rsidRPr="00D23950">
        <w:rPr>
          <w:b/>
          <w:szCs w:val="20"/>
          <w:lang w:eastAsia="lt-LT"/>
        </w:rPr>
        <w:t xml:space="preserve"> </w:t>
      </w:r>
    </w:p>
    <w:tbl>
      <w:tblPr>
        <w:tblW w:w="9775" w:type="dxa"/>
        <w:tblInd w:w="-147" w:type="dxa"/>
        <w:tblLayout w:type="fixed"/>
        <w:tblLook w:val="0400" w:firstRow="0" w:lastRow="0" w:firstColumn="0" w:lastColumn="0" w:noHBand="0" w:noVBand="1"/>
      </w:tblPr>
      <w:tblGrid>
        <w:gridCol w:w="9775"/>
      </w:tblGrid>
      <w:tr w:rsidR="00D23950" w:rsidRPr="00D23950" w:rsidTr="003F48AA">
        <w:tc>
          <w:tcPr>
            <w:tcW w:w="9775" w:type="dxa"/>
          </w:tcPr>
          <w:p w:rsidR="00D23950" w:rsidRPr="00D23950" w:rsidRDefault="00D23950" w:rsidP="00D23950">
            <w:pPr>
              <w:ind w:firstLine="709"/>
              <w:jc w:val="both"/>
              <w:rPr>
                <w:szCs w:val="20"/>
                <w:lang w:eastAsia="lt-LT"/>
              </w:rPr>
            </w:pPr>
            <w:r w:rsidRPr="00D23950">
              <w:rPr>
                <w:szCs w:val="20"/>
                <w:lang w:eastAsia="lt-LT"/>
              </w:rPr>
              <w:t>Klaipėdos lopšelis-darželis „Atžalynas“ (toliau – Įstaiga) įgyvendina ikimokyklinio ir priešmokyklinio ugdymo programas. 2021-09-01 duomenimis, Įstaigoje ugdyti 195 ugdytiniai (2020 m. – 196), suformuotos 2 ankstyvojo amžiaus, 6 ikimokyklinio ir 2 priešmokyklinio amžiaus grupės. Dirbo 26 pedagogai, t. y. 26 etatai (2020 m. – 22 pedagogai, 22 etatai) ir 25 nepedagoginiai darbuotojai, t. y. 23 etatai (2020 m. – 27 nepedagoginiai darbuotojai, 23,8 etato).</w:t>
            </w:r>
          </w:p>
          <w:p w:rsidR="00D23950" w:rsidRPr="00D23950" w:rsidRDefault="00D23950" w:rsidP="00D23950">
            <w:pPr>
              <w:tabs>
                <w:tab w:val="left" w:pos="924"/>
              </w:tabs>
              <w:ind w:firstLine="603"/>
              <w:jc w:val="both"/>
              <w:rPr>
                <w:szCs w:val="20"/>
                <w:lang w:eastAsia="lt-LT"/>
              </w:rPr>
            </w:pPr>
            <w:r w:rsidRPr="00D23950">
              <w:rPr>
                <w:szCs w:val="20"/>
                <w:lang w:eastAsia="lt-LT"/>
              </w:rPr>
              <w:t>Praėjusiais metais Įstaiga veikė</w:t>
            </w:r>
            <w:bookmarkStart w:id="2" w:name="_GoBack"/>
            <w:bookmarkEnd w:id="2"/>
            <w:r w:rsidRPr="00D23950">
              <w:rPr>
                <w:szCs w:val="20"/>
                <w:lang w:eastAsia="lt-LT"/>
              </w:rPr>
              <w:t xml:space="preserve"> vadovaudamasi 2021–2023 m. strateginiu planu (toliau – Strateginis planas) ir 2021 m. veiklos planu (toliau – Veiklos planas). Įstaigos bendruomenė 2021 m. numatė šias prioritetines veiklos kryptis: profesinis pedagogų skaitmeninio raštingumo gilinimas, naudojant informacines komunikacines technologijas (toliau – IKT) ir jas integruojant į ugdymo procesą, taikant virtualias ir nuotoliniam mokymui(si) skirtas platformas; veiksmingas švietimo pagalbos įvairių gebėjimų vaikams teikimas.</w:t>
            </w:r>
          </w:p>
          <w:p w:rsidR="00D23950" w:rsidRPr="00D23950" w:rsidRDefault="00D23950" w:rsidP="00D23950">
            <w:pPr>
              <w:ind w:firstLine="603"/>
              <w:jc w:val="both"/>
              <w:rPr>
                <w:szCs w:val="20"/>
                <w:lang w:eastAsia="lt-LT"/>
              </w:rPr>
            </w:pPr>
            <w:r w:rsidRPr="00D23950">
              <w:rPr>
                <w:szCs w:val="20"/>
                <w:lang w:eastAsia="lt-LT"/>
              </w:rPr>
              <w:t>Siekiant Strateginio plano pirmojo tikslo – užtikrinti kokybišką ikimokyklinio ir priešmokyklinio ugdymo proceso organizavimą</w:t>
            </w:r>
            <w:r w:rsidRPr="00D23950">
              <w:rPr>
                <w:color w:val="FF0000"/>
                <w:szCs w:val="20"/>
                <w:lang w:eastAsia="lt-LT"/>
              </w:rPr>
              <w:t xml:space="preserve"> </w:t>
            </w:r>
            <w:r w:rsidRPr="00D23950">
              <w:rPr>
                <w:szCs w:val="20"/>
                <w:lang w:eastAsia="lt-LT"/>
              </w:rPr>
              <w:t xml:space="preserve">– Įstaigos veikla buvo orientuota į ugdymo proceso dalyvių sąveiką, siekiant kiekvieno ugdytinio individualios pažangos. </w:t>
            </w:r>
          </w:p>
          <w:p w:rsidR="00D23950" w:rsidRPr="00D23950" w:rsidRDefault="00D23950" w:rsidP="00D23950">
            <w:pPr>
              <w:ind w:firstLine="603"/>
              <w:jc w:val="both"/>
              <w:rPr>
                <w:szCs w:val="20"/>
                <w:lang w:eastAsia="lt-LT"/>
              </w:rPr>
            </w:pPr>
            <w:r w:rsidRPr="00D23950">
              <w:rPr>
                <w:szCs w:val="20"/>
                <w:lang w:eastAsia="lt-LT"/>
              </w:rPr>
              <w:t>Strateginio tikslo įgyvendinimui buvo vykdomi trys veiklos plano uždaviniai:</w:t>
            </w:r>
          </w:p>
          <w:p w:rsidR="00D23950" w:rsidRPr="00D23950" w:rsidRDefault="00D23950" w:rsidP="004F77C5">
            <w:pPr>
              <w:ind w:firstLine="570"/>
              <w:jc w:val="both"/>
              <w:rPr>
                <w:szCs w:val="20"/>
                <w:lang w:eastAsia="lt-LT"/>
              </w:rPr>
            </w:pPr>
            <w:r w:rsidRPr="00D23950">
              <w:rPr>
                <w:szCs w:val="20"/>
                <w:lang w:eastAsia="lt-LT"/>
              </w:rPr>
              <w:t xml:space="preserve">– įgyvendinant pirmąjį uždavinį – sudaryti sąlygas ugdytis ir gerinti ugdymo proceso kokybę, siekiant uždavinių ir tikslų dermės – </w:t>
            </w:r>
            <w:r w:rsidRPr="00D23950">
              <w:rPr>
                <w:color w:val="000000"/>
                <w:szCs w:val="20"/>
                <w:lang w:eastAsia="lt-LT"/>
              </w:rPr>
              <w:t>vykdytos</w:t>
            </w:r>
            <w:r w:rsidRPr="00D23950">
              <w:rPr>
                <w:szCs w:val="20"/>
                <w:lang w:eastAsia="lt-LT"/>
              </w:rPr>
              <w:t xml:space="preserve"> priešmokyklinio ir ikimokyklinio ugdymo programos. Į ugdymo turinį integruotos tarptautinės socialinių ir emocinių įgūdžių programos: „Zipio draugai“ – priešmokyklinio ugdymo grupėse, „Kimochis“ – ikimokyklinio ugdymo grupėse, prevencinė „Alkoholio, tabako ir kitų psichiką veikiančių medžiagų vartojimo“. Vykdomos 4 neformaliojo vaikų švietimo ugdymo programos: 2 dailės gebėjimų ir 2 </w:t>
            </w:r>
            <w:r w:rsidRPr="00D23950">
              <w:rPr>
                <w:color w:val="000000"/>
                <w:szCs w:val="20"/>
                <w:lang w:eastAsia="lt-LT"/>
              </w:rPr>
              <w:t>fizinio ugdymo</w:t>
            </w:r>
            <w:r w:rsidRPr="00D23950">
              <w:rPr>
                <w:szCs w:val="20"/>
                <w:lang w:eastAsia="lt-LT"/>
              </w:rPr>
              <w:t xml:space="preserve">, kuriose dalyvavo 195 vaikai (100 %). Įstaigos bendruomenė, būdama nacionalinio sveikatą stiprinančių Aktyvių mokyklų tinklo nare, visus metus dalyvavo vaikų sveikatinimo programoje „Augsiu aktyvus ir sveikas“ (sveikos mitybos </w:t>
            </w:r>
            <w:r w:rsidRPr="00D23950">
              <w:rPr>
                <w:color w:val="000000"/>
                <w:szCs w:val="20"/>
                <w:lang w:eastAsia="lt-LT"/>
              </w:rPr>
              <w:t>skatinimo</w:t>
            </w:r>
            <w:r w:rsidRPr="00D23950">
              <w:rPr>
                <w:szCs w:val="20"/>
                <w:lang w:eastAsia="lt-LT"/>
              </w:rPr>
              <w:t xml:space="preserve">, sveikos aplinkos kūrimo, fizinio aktyvumo skatinimo bei psichinės sveikatos stiprinimo; vykdant sužalojimų prevencijos veiklą, užkrečiamų ligų profilaktiką). 2021 metais pagerėjo vaikų lankomumas – 12,46 dienos (2020 m. – 10,25 dienos). Pedagogai parengė 5 kvalifikacijos tobulinimosi programas, seminarus: „Įtraukusis ugdymas. Veiklos, metodai ir būdai, kad visi vaikai jaustųsi ypatingi, įvertinti ir svarbūs“, „Specialiųjų ugdymosi poreikių vaikų integracija ir sėkmingo ugdymo gairės“, „Švietimo įstaigos vadovo veikla gerinant ugdymo kokybę“, „Nuo projekto idėjos iki rezultato. Praktinės kūrybinės dirbtuvės“, „Sveikos gyvensenos puoselėjimas pagal S. Kneipo metodiką“; </w:t>
            </w:r>
          </w:p>
          <w:p w:rsidR="00D23950" w:rsidRPr="00D23950" w:rsidRDefault="00D23950" w:rsidP="004F77C5">
            <w:pPr>
              <w:ind w:firstLine="570"/>
              <w:jc w:val="both"/>
              <w:rPr>
                <w:szCs w:val="20"/>
                <w:lang w:eastAsia="lt-LT"/>
              </w:rPr>
            </w:pPr>
            <w:r w:rsidRPr="00D23950">
              <w:rPr>
                <w:szCs w:val="20"/>
                <w:lang w:eastAsia="lt-LT"/>
              </w:rPr>
              <w:t>– įgyvendinant antrąjį uždavinį – taikyti informacines komunikacines technologijas  ugdymo procese, tenkinant bei plėtojant vaiko poreikius ir galimybes</w:t>
            </w:r>
            <w:r w:rsidRPr="00D23950">
              <w:rPr>
                <w:color w:val="FF0000"/>
                <w:szCs w:val="20"/>
                <w:lang w:eastAsia="lt-LT"/>
              </w:rPr>
              <w:t xml:space="preserve"> </w:t>
            </w:r>
            <w:r w:rsidRPr="00D23950">
              <w:rPr>
                <w:szCs w:val="20"/>
                <w:lang w:eastAsia="lt-LT"/>
              </w:rPr>
              <w:t xml:space="preserve">– mokytojai taikė nuotolinio mokymo(si) metodus, būdus ir formas, kūrė į vaiko ugdymosi rezultatus orientuotą ugdymo(si) turinį. Organizuota 18 Įstaigos pažintinių-kultūrinių projektų, 10 teminių savaičių, 16 edukacinių išvykų, 8 tradiciniai ir netradiciniai renginiai, dalyvauta konkursuose, parodose, akcijose. Vykdyti 6 tarptautiniai, 12 šalies, 5 miesto projektai. Sudarytos palankios sąlygos savišvietai, kvalifikacijos tobulinimui. 2021 metais išklausyta 2545,5 val. įvairių kursų, seminarų, mokymų. Vienam pedagogui vidutiniškai teko 17 kvalifikacijos kėlimo dienų (2020 m. – 10 dienų). Siekiant gauti papildomų lėšų kvalifikacijos tobulinimui ne tik pedagogams, bet ir nepedagoginiams darbuotojams, buvo parengta paraiška ir laimėtas tarptautinis eTwinning projektas „Nuo eTwinning projektų idėjų sugeneravimo iki mokytojų skaitmeninių pedagoginių kompetencijų gerinimo“. Laimėta suma – 9893,40 Eur – padėjo įgyventi numatytus tikslus ir uždavinius, diegiant </w:t>
            </w:r>
            <w:r w:rsidRPr="00D23950">
              <w:rPr>
                <w:szCs w:val="20"/>
                <w:lang w:eastAsia="lt-LT"/>
              </w:rPr>
              <w:lastRenderedPageBreak/>
              <w:t>inovacijas, reprezentuojant  Įstaigą, gerinant bendruomenės emocinę ir psichologinę sveikatą;</w:t>
            </w:r>
          </w:p>
          <w:p w:rsidR="00D23950" w:rsidRPr="00D23950" w:rsidRDefault="00D23950" w:rsidP="004F77C5">
            <w:pPr>
              <w:ind w:firstLine="570"/>
              <w:jc w:val="both"/>
              <w:rPr>
                <w:szCs w:val="20"/>
                <w:lang w:eastAsia="lt-LT"/>
              </w:rPr>
            </w:pPr>
            <w:r w:rsidRPr="00D23950">
              <w:rPr>
                <w:szCs w:val="20"/>
                <w:lang w:eastAsia="lt-LT"/>
              </w:rPr>
              <w:t xml:space="preserve">– įgyvendinant trečiąjį uždavinį – aktyvinti bendravimą su vaiko šeima – buvo sėkmingai įvykdytos priemonės, susijusios su švietimo pagalbos teikimu. Tikslingai organizuota švietimo pagalba: logopedo paslauga (1 etatas) teikta 52 vaikams (2020 m. – 48 vaikams) vykdyti tėvų susirinkimai, teiktos individualios konsultacijos. Tariantis dėl pagalbos būdų ir bendradarbiavimo formų daug dėmesio buvo skirta darbui su 14 šeimų, auginančių vaikus, turinčius specialiuosius ugdymosi poreikius (toliau – SUP). Vaiko gerovės komisija iniciavo SUP vertinimą ir rūpinosi pagalbos teikimo kokybe. Mokytojai turėjo galimybę rinktis ugdymo metodus, atsižvelgiant į ugdytinių poreikius ir gebėjimus. Kartu su šeima visi Įstaigos ugdytiniai dalyvavo „Žvaigždučių vilties bėgime – 2021“ ir „Lietuvos mažųjų žaidynėse“ (I ir II etapai). </w:t>
            </w:r>
          </w:p>
          <w:p w:rsidR="00D23950" w:rsidRPr="00D23950" w:rsidRDefault="00D23950" w:rsidP="00D23950">
            <w:pPr>
              <w:ind w:firstLine="603"/>
              <w:jc w:val="both"/>
              <w:rPr>
                <w:szCs w:val="20"/>
                <w:lang w:eastAsia="lt-LT"/>
              </w:rPr>
            </w:pPr>
            <w:r w:rsidRPr="00D23950">
              <w:rPr>
                <w:szCs w:val="20"/>
                <w:lang w:eastAsia="lt-LT"/>
              </w:rPr>
              <w:t xml:space="preserve">Siekiant Strateginio plano antrojo tikslo – pozityvios emocinės aplinkos kūrimo – Įstaigos veikla buvo orientuojama į edukacinių aplinkų kūrimą, patalpų būklės atnaujinimą, šiuolaikinių ugdymo(si) priemonių įsigijimą. </w:t>
            </w:r>
          </w:p>
          <w:p w:rsidR="00D23950" w:rsidRPr="00D23950" w:rsidRDefault="00D23950" w:rsidP="00D23950">
            <w:pPr>
              <w:ind w:firstLine="603"/>
              <w:jc w:val="both"/>
              <w:rPr>
                <w:szCs w:val="20"/>
                <w:lang w:eastAsia="lt-LT"/>
              </w:rPr>
            </w:pPr>
            <w:r w:rsidRPr="00D23950">
              <w:rPr>
                <w:szCs w:val="20"/>
                <w:lang w:eastAsia="lt-LT"/>
              </w:rPr>
              <w:t xml:space="preserve">Tikslui pasiekti buvo vykdomas Veiklos plano uždavinys – tikslingai ir kryptingai siekti kiekvieno vaiko ugdymosi pažangos kuriant saugią, šiuolaikišką aplinką. Įdiegtoje elektroninio dienyno sistemoje </w:t>
            </w:r>
            <w:hyperlink r:id="rId6">
              <w:r w:rsidRPr="00D23950">
                <w:rPr>
                  <w:color w:val="0563C1"/>
                  <w:szCs w:val="20"/>
                  <w:u w:val="single"/>
                  <w:lang w:eastAsia="lt-LT"/>
                </w:rPr>
                <w:t>www.musudarzelis.com</w:t>
              </w:r>
            </w:hyperlink>
            <w:r w:rsidRPr="00D23950">
              <w:rPr>
                <w:szCs w:val="20"/>
                <w:lang w:eastAsia="lt-LT"/>
              </w:rPr>
              <w:t xml:space="preserve"> pildomos vaikų pasiekimų lentelės, kurios padėjo laiku suteikti informaciją tėvams. Vertinimo rezultatai panaudoti kiekybiniams ir kokybiniams vaiko pažangos pokyčiams nustatyti. Įstaigos pedagogai parengė metodinę medžiagą kvalifikacijos tobulinimo seminarui „Planavimas. Vaiko pasiekimų ir pažangos vertinimo sistema“. Medžiaga pristatyta Įstaigos ir miesto pedagogams. 2021 m. Įstaigoje atnaujintos 3 ugdymosi aplinkos (pakeista grindų danga, nudažytos sienos, pakeistos sieninės spintos – 4830,00 Eur), įsigyti sportinio inventoriaus komplektai (400,00 Eur), interaktyvios grindys (3198,00 Eur), 5 IKT lavinimo priemonės: mokomoji STEAM lenta NS ME10971 (526,74 Eur), 4 magnetinės lentos (264,00 Eur), sensorinis lavinimo kilimėlis, žaidimai Fly Sky (409,00 Eur), gauti 2 nešiojami kompiuteriai priešmokyklinio ugdymo grupėms, CD adapteriai, laminavimo aparatai. </w:t>
            </w:r>
          </w:p>
          <w:p w:rsidR="00D23950" w:rsidRPr="00D23950" w:rsidRDefault="00D23950" w:rsidP="00D23950">
            <w:pPr>
              <w:ind w:firstLine="603"/>
              <w:jc w:val="both"/>
              <w:rPr>
                <w:szCs w:val="20"/>
                <w:lang w:eastAsia="lt-LT"/>
              </w:rPr>
            </w:pPr>
            <w:r w:rsidRPr="00D23950">
              <w:rPr>
                <w:szCs w:val="20"/>
                <w:lang w:eastAsia="lt-LT"/>
              </w:rPr>
              <w:t>2021 m. Įstaigos finansinė situacija buvo tokia:</w:t>
            </w:r>
          </w:p>
          <w:tbl>
            <w:tblPr>
              <w:tblW w:w="9609" w:type="dxa"/>
              <w:tblInd w:w="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9"/>
              <w:gridCol w:w="1418"/>
              <w:gridCol w:w="1276"/>
              <w:gridCol w:w="1417"/>
              <w:gridCol w:w="3119"/>
            </w:tblGrid>
            <w:tr w:rsidR="00D23950" w:rsidRPr="00D23950" w:rsidTr="00085164">
              <w:trPr>
                <w:tblHeader/>
              </w:trPr>
              <w:tc>
                <w:tcPr>
                  <w:tcW w:w="2379" w:type="dxa"/>
                  <w:vMerge w:val="restart"/>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Finansavimo šaltinis</w:t>
                  </w:r>
                </w:p>
              </w:tc>
              <w:tc>
                <w:tcPr>
                  <w:tcW w:w="4111" w:type="dxa"/>
                  <w:gridSpan w:val="3"/>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Lėšos (tūkst. Eur)</w:t>
                  </w:r>
                </w:p>
              </w:tc>
              <w:tc>
                <w:tcPr>
                  <w:tcW w:w="3119" w:type="dxa"/>
                  <w:vMerge w:val="restart"/>
                  <w:tcBorders>
                    <w:top w:val="single" w:sz="4" w:space="0" w:color="000000"/>
                    <w:left w:val="single" w:sz="4" w:space="0" w:color="000000"/>
                    <w:right w:val="single" w:sz="4" w:space="0" w:color="000000"/>
                  </w:tcBorders>
                </w:tcPr>
                <w:p w:rsidR="00D23950" w:rsidRPr="00D23950" w:rsidRDefault="00D23950" w:rsidP="00D23950">
                  <w:pPr>
                    <w:jc w:val="center"/>
                    <w:rPr>
                      <w:lang w:eastAsia="lt-LT"/>
                    </w:rPr>
                  </w:pPr>
                  <w:r w:rsidRPr="00D23950">
                    <w:rPr>
                      <w:lang w:eastAsia="lt-LT"/>
                    </w:rPr>
                    <w:t>Pastabos</w:t>
                  </w:r>
                </w:p>
                <w:p w:rsidR="00D23950" w:rsidRPr="00D23950" w:rsidRDefault="00D23950" w:rsidP="00D23950">
                  <w:pPr>
                    <w:jc w:val="center"/>
                    <w:rPr>
                      <w:lang w:eastAsia="lt-LT"/>
                    </w:rPr>
                  </w:pPr>
                </w:p>
              </w:tc>
            </w:tr>
            <w:tr w:rsidR="00D23950" w:rsidRPr="00D23950" w:rsidTr="00085164">
              <w:trPr>
                <w:tblHeader/>
              </w:trPr>
              <w:tc>
                <w:tcPr>
                  <w:tcW w:w="2379" w:type="dxa"/>
                  <w:vMerge/>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widowControl w:val="0"/>
                    <w:pBdr>
                      <w:top w:val="nil"/>
                      <w:left w:val="nil"/>
                      <w:bottom w:val="nil"/>
                      <w:right w:val="nil"/>
                      <w:between w:val="nil"/>
                    </w:pBdr>
                    <w:spacing w:line="276" w:lineRule="auto"/>
                    <w:rPr>
                      <w:lang w:eastAsia="lt-LT"/>
                    </w:rPr>
                  </w:pP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Planas (patikslintas)</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Panaudota lėšų</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Įvykdymas (%)</w:t>
                  </w:r>
                </w:p>
              </w:tc>
              <w:tc>
                <w:tcPr>
                  <w:tcW w:w="3119" w:type="dxa"/>
                  <w:vMerge/>
                  <w:tcBorders>
                    <w:top w:val="single" w:sz="4" w:space="0" w:color="000000"/>
                    <w:left w:val="single" w:sz="4" w:space="0" w:color="000000"/>
                    <w:right w:val="single" w:sz="4" w:space="0" w:color="000000"/>
                  </w:tcBorders>
                </w:tcPr>
                <w:p w:rsidR="00D23950" w:rsidRPr="00D23950" w:rsidRDefault="00D23950" w:rsidP="00D23950">
                  <w:pPr>
                    <w:widowControl w:val="0"/>
                    <w:pBdr>
                      <w:top w:val="nil"/>
                      <w:left w:val="nil"/>
                      <w:bottom w:val="nil"/>
                      <w:right w:val="nil"/>
                      <w:between w:val="nil"/>
                    </w:pBdr>
                    <w:spacing w:line="276" w:lineRule="auto"/>
                    <w:rPr>
                      <w:lang w:eastAsia="lt-LT"/>
                    </w:rPr>
                  </w:pPr>
                </w:p>
              </w:tc>
            </w:tr>
            <w:tr w:rsidR="00D23950" w:rsidRPr="00D23950" w:rsidTr="00085164">
              <w:trPr>
                <w:trHeight w:val="415"/>
              </w:trPr>
              <w:tc>
                <w:tcPr>
                  <w:tcW w:w="237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Savivaldybės biudžetas (SB)</w:t>
                  </w: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445,700</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443,560</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99,52</w:t>
                  </w: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Nepanaudotos lėšos, kurios buvo numatytos kompensacijoms išeinantiems darbuotojams</w:t>
                  </w:r>
                </w:p>
              </w:tc>
            </w:tr>
            <w:tr w:rsidR="00D23950" w:rsidRPr="00D23950" w:rsidTr="00085164">
              <w:tc>
                <w:tcPr>
                  <w:tcW w:w="237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Specialioji tikslinė dotacija (VB)</w:t>
                  </w: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327,956</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327,953</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100,00</w:t>
                  </w: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w:t>
                  </w:r>
                </w:p>
              </w:tc>
            </w:tr>
            <w:tr w:rsidR="00D23950" w:rsidRPr="00D23950" w:rsidTr="00085164">
              <w:tc>
                <w:tcPr>
                  <w:tcW w:w="237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Įstaigos gautos pajamos (surinkta pajamų SP), iš jų:</w:t>
                  </w: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88,00</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74,025</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84,119</w:t>
                  </w: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Skirtumas plano ir įvykdymo atsirado, dėl ekstremalios situacijos metu paskelbtos IPRR situacijos. Šiais laikotarpiais paslaugų gavėjai už paslaugas nemokėjo</w:t>
                  </w:r>
                </w:p>
              </w:tc>
            </w:tr>
            <w:tr w:rsidR="00D23950" w:rsidRPr="00D23950" w:rsidTr="00085164">
              <w:trPr>
                <w:trHeight w:val="143"/>
              </w:trPr>
              <w:tc>
                <w:tcPr>
                  <w:tcW w:w="237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Pajamų išlaidos (SP)</w:t>
                  </w: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74,428</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74,025</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99,45</w:t>
                  </w: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p>
              </w:tc>
            </w:tr>
            <w:tr w:rsidR="00D23950" w:rsidRPr="00D23950" w:rsidTr="00085164">
              <w:trPr>
                <w:trHeight w:val="125"/>
              </w:trPr>
              <w:tc>
                <w:tcPr>
                  <w:tcW w:w="237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Projektų finansavimas (ES; VB; SB)</w:t>
                  </w: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9,9</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9,9</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100</w:t>
                  </w: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p>
              </w:tc>
            </w:tr>
            <w:tr w:rsidR="00D23950" w:rsidRPr="00D23950" w:rsidTr="00085164">
              <w:tc>
                <w:tcPr>
                  <w:tcW w:w="237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Kitos lėšos (parama 1,2 % GM ir kt.)</w:t>
                  </w: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3,5</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3,5</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100</w:t>
                  </w: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p>
              </w:tc>
            </w:tr>
            <w:tr w:rsidR="00D23950" w:rsidRPr="00D23950" w:rsidTr="00085164">
              <w:trPr>
                <w:trHeight w:val="152"/>
              </w:trPr>
              <w:tc>
                <w:tcPr>
                  <w:tcW w:w="237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Iš viso</w:t>
                  </w:r>
                </w:p>
              </w:tc>
              <w:tc>
                <w:tcPr>
                  <w:tcW w:w="1418"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875,056</w:t>
                  </w:r>
                </w:p>
              </w:tc>
              <w:tc>
                <w:tcPr>
                  <w:tcW w:w="1276"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858,938</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r w:rsidRPr="00D23950">
                    <w:rPr>
                      <w:lang w:eastAsia="lt-LT"/>
                    </w:rPr>
                    <w:t>98,153</w:t>
                  </w: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jc w:val="center"/>
                    <w:rPr>
                      <w:lang w:eastAsia="lt-LT"/>
                    </w:rPr>
                  </w:pPr>
                </w:p>
              </w:tc>
            </w:tr>
            <w:tr w:rsidR="00D23950" w:rsidRPr="00D23950" w:rsidTr="00085164">
              <w:tc>
                <w:tcPr>
                  <w:tcW w:w="5073" w:type="dxa"/>
                  <w:gridSpan w:val="3"/>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 xml:space="preserve">Kreditinis įsiskolinimas (pagal visus finansavimo šaltinius) 2022 m. sausio 1 d. </w:t>
                  </w:r>
                </w:p>
              </w:tc>
              <w:tc>
                <w:tcPr>
                  <w:tcW w:w="1417"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p>
              </w:tc>
              <w:tc>
                <w:tcPr>
                  <w:tcW w:w="3119" w:type="dxa"/>
                  <w:tcBorders>
                    <w:top w:val="single" w:sz="4" w:space="0" w:color="000000"/>
                    <w:left w:val="single" w:sz="4" w:space="0" w:color="000000"/>
                    <w:bottom w:val="single" w:sz="4" w:space="0" w:color="000000"/>
                    <w:right w:val="single" w:sz="4" w:space="0" w:color="000000"/>
                  </w:tcBorders>
                </w:tcPr>
                <w:p w:rsidR="00D23950" w:rsidRPr="00D23950" w:rsidRDefault="00D23950" w:rsidP="00D23950">
                  <w:pPr>
                    <w:rPr>
                      <w:lang w:eastAsia="lt-LT"/>
                    </w:rPr>
                  </w:pPr>
                  <w:r w:rsidRPr="00D23950">
                    <w:rPr>
                      <w:lang w:eastAsia="lt-LT"/>
                    </w:rPr>
                    <w:t>Kreditinių įsiskolinimų Įstaiga neturi</w:t>
                  </w:r>
                </w:p>
              </w:tc>
            </w:tr>
          </w:tbl>
          <w:p w:rsidR="00D23950" w:rsidRDefault="00D23950" w:rsidP="00D23950">
            <w:pPr>
              <w:tabs>
                <w:tab w:val="left" w:pos="573"/>
              </w:tabs>
              <w:ind w:right="-22" w:firstLine="603"/>
              <w:jc w:val="both"/>
              <w:rPr>
                <w:szCs w:val="20"/>
                <w:lang w:eastAsia="lt-LT"/>
              </w:rPr>
            </w:pPr>
          </w:p>
          <w:p w:rsidR="00A05DE5" w:rsidRDefault="00A05DE5" w:rsidP="00D23950">
            <w:pPr>
              <w:tabs>
                <w:tab w:val="left" w:pos="573"/>
              </w:tabs>
              <w:ind w:right="-22" w:firstLine="603"/>
              <w:jc w:val="both"/>
              <w:rPr>
                <w:szCs w:val="20"/>
                <w:lang w:eastAsia="lt-LT"/>
              </w:rPr>
            </w:pPr>
          </w:p>
          <w:p w:rsidR="00D23950" w:rsidRPr="00D23950" w:rsidRDefault="00D23950" w:rsidP="00D23950">
            <w:pPr>
              <w:tabs>
                <w:tab w:val="left" w:pos="573"/>
              </w:tabs>
              <w:ind w:right="-22" w:firstLine="603"/>
              <w:jc w:val="both"/>
              <w:rPr>
                <w:szCs w:val="20"/>
                <w:lang w:eastAsia="lt-LT"/>
              </w:rPr>
            </w:pPr>
            <w:r w:rsidRPr="00D23950">
              <w:rPr>
                <w:szCs w:val="20"/>
                <w:lang w:eastAsia="lt-LT"/>
              </w:rPr>
              <w:lastRenderedPageBreak/>
              <w:t>Įstaigoje 2021 m. buvo atlikti patikrinimai:</w:t>
            </w:r>
          </w:p>
          <w:p w:rsidR="00D23950" w:rsidRPr="00D23950" w:rsidRDefault="00D23950" w:rsidP="00D23950">
            <w:pPr>
              <w:ind w:right="-22" w:firstLine="603"/>
              <w:jc w:val="both"/>
              <w:rPr>
                <w:szCs w:val="20"/>
                <w:lang w:eastAsia="lt-LT"/>
              </w:rPr>
            </w:pPr>
            <w:r w:rsidRPr="00D23950">
              <w:rPr>
                <w:szCs w:val="20"/>
                <w:lang w:eastAsia="lt-LT"/>
              </w:rPr>
              <w:t>Vaikų žaidimo aikštelės kontrolė. Pateikta kontrolės įstaigos Inspectum ataskaita. Ataskaitos išvada: vaikų žaidimų įranga ir dangos atitinka reikalavimus.</w:t>
            </w:r>
          </w:p>
          <w:p w:rsidR="00D23950" w:rsidRPr="00D23950" w:rsidRDefault="00D23950" w:rsidP="00D23950">
            <w:pPr>
              <w:ind w:right="-22" w:firstLine="603"/>
              <w:jc w:val="both"/>
              <w:rPr>
                <w:szCs w:val="20"/>
                <w:lang w:eastAsia="lt-LT"/>
              </w:rPr>
            </w:pPr>
            <w:r w:rsidRPr="00D23950">
              <w:rPr>
                <w:szCs w:val="20"/>
                <w:lang w:eastAsia="lt-LT"/>
              </w:rPr>
              <w:t>Valstybinės maisto ir veterinarijos tarnybos Klaipėdos departamento 2021-05-04 patikrinimas. Patikrinimo akto išvados: savikontrolė pagal GHPT vykdoma pilnai, SVT stebimi ir registruojami. Pažeidimų nenustatyta. Veikla vykdoma pagal teisės aktų reikalavimus.</w:t>
            </w:r>
          </w:p>
          <w:p w:rsidR="00D23950" w:rsidRPr="00D23950" w:rsidRDefault="00D23950" w:rsidP="00D23950">
            <w:pPr>
              <w:ind w:right="-22" w:firstLine="603"/>
              <w:jc w:val="both"/>
              <w:rPr>
                <w:szCs w:val="20"/>
                <w:lang w:eastAsia="lt-LT"/>
              </w:rPr>
            </w:pPr>
            <w:r w:rsidRPr="00D23950">
              <w:rPr>
                <w:szCs w:val="20"/>
                <w:lang w:eastAsia="lt-LT"/>
              </w:rPr>
              <w:t>Nacionalinio visuomenės centro prie Sveikatos apsaugos ministerijos Klaipėdos departamento 2021-04-21 patikrinimas dėl karantino režimo priemonių laikymosi. Pažeidimų nenustatyta.</w:t>
            </w:r>
          </w:p>
          <w:p w:rsidR="00D23950" w:rsidRPr="00D23950" w:rsidRDefault="00D23950" w:rsidP="00D23950">
            <w:pPr>
              <w:ind w:right="-22" w:firstLine="603"/>
              <w:jc w:val="both"/>
              <w:rPr>
                <w:szCs w:val="20"/>
                <w:lang w:eastAsia="lt-LT"/>
              </w:rPr>
            </w:pPr>
            <w:r w:rsidRPr="00D23950">
              <w:rPr>
                <w:szCs w:val="20"/>
                <w:lang w:eastAsia="lt-LT"/>
              </w:rPr>
              <w:t>2021 m. Įstaigoje liko neišspręstos tokios vidaus ir išorės faktorių sąlygotos problemos: kasmet didėja vaikų, turinčių kalbos ir komunikacijos sutrikimų, todėl 1 logopedo etato nepakanka, tenkinant vaikų, kuriems reikalinga ši pagalba, poreikį; reikalinga atlikti Įstaigos vidaus patalpų bei komunalinių (25,0 tūkst. Eur), ventiliacijos (40,0 tūkst. Eur) sistemų remontų darbus. Lauke būtina įrengti 63 m</w:t>
            </w:r>
            <w:r w:rsidRPr="00D23950">
              <w:rPr>
                <w:sz w:val="22"/>
                <w:szCs w:val="22"/>
                <w:vertAlign w:val="superscript"/>
                <w:lang w:eastAsia="lt-LT"/>
              </w:rPr>
              <w:t>3</w:t>
            </w:r>
            <w:r w:rsidRPr="00D23950">
              <w:rPr>
                <w:szCs w:val="20"/>
                <w:lang w:eastAsia="lt-LT"/>
              </w:rPr>
              <w:t xml:space="preserve"> bituminę dangą po lauko įrenginiais (12,0 tūkst. Eur). </w:t>
            </w:r>
          </w:p>
          <w:p w:rsidR="00D23950" w:rsidRPr="00D23950" w:rsidRDefault="00D23950" w:rsidP="00D23950">
            <w:pPr>
              <w:ind w:firstLine="603"/>
              <w:jc w:val="both"/>
              <w:rPr>
                <w:szCs w:val="20"/>
                <w:lang w:eastAsia="lt-LT"/>
              </w:rPr>
            </w:pPr>
            <w:r w:rsidRPr="00D23950">
              <w:rPr>
                <w:szCs w:val="20"/>
                <w:lang w:eastAsia="lt-LT"/>
              </w:rPr>
              <w:t>Planuodama 2022 m. veiklą, Įstaigos bendruomenė susitarė dėl tokių veiklos prioritetų: veiksmingos švietimo pagalbos įvairių poreikių ir gebėjimų vaikams teikimo gerinimo; duomenų analizės ir įsivertinimu pagrįstos švietimo turinio ir vadybos kokybės užtikrinimo; profesinio pedagogų skaitmeninio raštingumo gilinimo, naudojant IKT ir skaitmeninį ugdymo turinį</w:t>
            </w:r>
            <w:r w:rsidR="004F77C5">
              <w:rPr>
                <w:szCs w:val="20"/>
                <w:lang w:eastAsia="lt-LT"/>
              </w:rPr>
              <w:t>.</w:t>
            </w:r>
          </w:p>
        </w:tc>
      </w:tr>
    </w:tbl>
    <w:p w:rsidR="00D23950" w:rsidRPr="00A05DE5" w:rsidRDefault="00D23950" w:rsidP="00D23950">
      <w:pPr>
        <w:jc w:val="center"/>
        <w:rPr>
          <w:szCs w:val="20"/>
          <w:lang w:eastAsia="lt-LT"/>
        </w:rPr>
      </w:pPr>
    </w:p>
    <w:p w:rsidR="00D23950" w:rsidRPr="00A05DE5" w:rsidRDefault="00D23950" w:rsidP="00D23950">
      <w:pPr>
        <w:jc w:val="center"/>
        <w:rPr>
          <w:szCs w:val="20"/>
          <w:lang w:eastAsia="lt-LT"/>
        </w:rPr>
      </w:pPr>
    </w:p>
    <w:p w:rsidR="00D57F27" w:rsidRPr="00832CC9" w:rsidRDefault="00D23950" w:rsidP="00D23950">
      <w:r>
        <w:t xml:space="preserve">Direktorė </w:t>
      </w:r>
      <w:r w:rsidR="007D72CD">
        <w:tab/>
      </w:r>
      <w:r w:rsidR="007D72CD">
        <w:tab/>
      </w:r>
      <w:r w:rsidR="007D72CD">
        <w:tab/>
      </w:r>
      <w:r w:rsidR="007D72CD">
        <w:tab/>
      </w:r>
      <w:r w:rsidR="007D72CD">
        <w:tab/>
      </w:r>
      <w:r w:rsidR="007D72CD">
        <w:tab/>
      </w:r>
      <w:r>
        <w:t>Rasa Žemgulienė</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2058C">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23F6C"/>
    <w:rsid w:val="0006079E"/>
    <w:rsid w:val="0019615E"/>
    <w:rsid w:val="0034183E"/>
    <w:rsid w:val="003F48AA"/>
    <w:rsid w:val="004476DD"/>
    <w:rsid w:val="004F77C5"/>
    <w:rsid w:val="00597EE8"/>
    <w:rsid w:val="005B434A"/>
    <w:rsid w:val="005F495C"/>
    <w:rsid w:val="0072058C"/>
    <w:rsid w:val="007D72CD"/>
    <w:rsid w:val="00832CC9"/>
    <w:rsid w:val="008354D5"/>
    <w:rsid w:val="008E6E82"/>
    <w:rsid w:val="00A05DE5"/>
    <w:rsid w:val="00AF7D08"/>
    <w:rsid w:val="00B750B6"/>
    <w:rsid w:val="00C57681"/>
    <w:rsid w:val="00CA4D3B"/>
    <w:rsid w:val="00D23950"/>
    <w:rsid w:val="00D244C4"/>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A43356-DE81-449F-8BB3-498F2D35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udarzelis.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5535</Words>
  <Characters>3156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5</cp:revision>
  <dcterms:created xsi:type="dcterms:W3CDTF">2022-02-24T06:12:00Z</dcterms:created>
  <dcterms:modified xsi:type="dcterms:W3CDTF">2022-02-28T08:01:00Z</dcterms:modified>
</cp:coreProperties>
</file>